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商鼎高校教学基本状态数据库软件</w:t>
      </w:r>
    </w:p>
    <w:p>
      <w:pPr>
        <w:rPr>
          <w:rFonts w:hint="eastAsia"/>
          <w:b/>
          <w:bCs/>
          <w:sz w:val="21"/>
          <w:szCs w:val="21"/>
        </w:rPr>
      </w:pPr>
    </w:p>
    <w:p>
      <w:pPr>
        <w:jc w:val="center"/>
        <w:rPr>
          <w:rFonts w:hint="eastAsia" w:eastAsia="黑体" w:cs="Arial"/>
          <w:sz w:val="52"/>
          <w:szCs w:val="52"/>
        </w:rPr>
      </w:pPr>
      <w:r>
        <w:rPr>
          <w:rFonts w:hint="eastAsia" w:eastAsia="黑体" w:cs="Arial"/>
          <w:sz w:val="52"/>
          <w:szCs w:val="52"/>
        </w:rPr>
        <w:t>数据</w:t>
      </w:r>
      <w:r>
        <w:rPr>
          <w:rFonts w:hint="eastAsia" w:eastAsia="黑体" w:cs="Arial"/>
          <w:sz w:val="52"/>
          <w:szCs w:val="52"/>
          <w:lang w:eastAsia="zh-CN"/>
        </w:rPr>
        <w:t>审核员</w:t>
      </w:r>
      <w:r>
        <w:rPr>
          <w:rFonts w:hint="eastAsia" w:eastAsia="黑体" w:cs="Arial"/>
          <w:sz w:val="52"/>
          <w:szCs w:val="52"/>
        </w:rPr>
        <w:t xml:space="preserve">操作手册 </w:t>
      </w: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tbl>
      <w:tblPr>
        <w:tblStyle w:val="11"/>
        <w:tblpPr w:leftFromText="180" w:rightFromText="180" w:vertAnchor="text" w:horzAnchor="page" w:tblpX="1687" w:tblpY="600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1344"/>
        <w:gridCol w:w="4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2684" w:type="dxa"/>
            <w:vMerge w:val="restart"/>
            <w:shd w:val="clear" w:color="auto" w:fill="auto"/>
            <w:vAlign w:val="top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/>
                <w:color w:val="000000"/>
              </w:rPr>
              <w:t>文件状态：</w:t>
            </w:r>
          </w:p>
          <w:p>
            <w:pPr>
              <w:ind w:firstLine="240" w:firstLineChars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[√</w:t>
            </w:r>
            <w:r>
              <w:rPr>
                <w:rFonts w:hint="eastAsia"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] </w:t>
            </w:r>
            <w:r>
              <w:rPr>
                <w:rFonts w:ascii="Verdana"/>
                <w:color w:val="000000"/>
              </w:rPr>
              <w:t>草稿</w:t>
            </w:r>
          </w:p>
          <w:p>
            <w:pPr>
              <w:ind w:firstLine="240" w:firstLineChars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[</w:t>
            </w:r>
            <w:r>
              <w:rPr>
                <w:rFonts w:hint="eastAsia" w:ascii="Verdana" w:hAnsi="Verdana"/>
                <w:color w:val="000000"/>
              </w:rPr>
              <w:t xml:space="preserve">  </w:t>
            </w:r>
            <w:r>
              <w:rPr>
                <w:rFonts w:ascii="Verdana" w:hAnsi="Verdana"/>
                <w:color w:val="000000"/>
              </w:rPr>
              <w:t xml:space="preserve">] </w:t>
            </w:r>
            <w:r>
              <w:rPr>
                <w:rFonts w:ascii="Verdana"/>
                <w:color w:val="000000"/>
              </w:rPr>
              <w:t>正式发布</w:t>
            </w:r>
          </w:p>
          <w:p>
            <w:pPr>
              <w:ind w:firstLine="240" w:firstLineChars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[</w:t>
            </w:r>
            <w:r>
              <w:rPr>
                <w:rFonts w:hint="eastAsia" w:ascii="Verdana" w:hAnsi="Verdana"/>
                <w:color w:val="000000"/>
              </w:rPr>
              <w:t xml:space="preserve">  </w:t>
            </w:r>
            <w:r>
              <w:rPr>
                <w:rFonts w:ascii="Verdana" w:hAnsi="Verdana"/>
                <w:color w:val="000000"/>
              </w:rPr>
              <w:t xml:space="preserve">] </w:t>
            </w:r>
            <w:r>
              <w:rPr>
                <w:rFonts w:ascii="Verdana"/>
                <w:color w:val="000000"/>
              </w:rPr>
              <w:t>正在修改</w:t>
            </w:r>
          </w:p>
        </w:tc>
        <w:tc>
          <w:tcPr>
            <w:tcW w:w="1344" w:type="dxa"/>
            <w:shd w:val="clear" w:color="auto" w:fill="D9D9D9"/>
            <w:vAlign w:val="top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/>
                <w:color w:val="000000"/>
              </w:rPr>
              <w:t>文件标识：</w:t>
            </w:r>
          </w:p>
        </w:tc>
        <w:tc>
          <w:tcPr>
            <w:tcW w:w="4692" w:type="dxa"/>
            <w:vAlign w:val="top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hint="eastAsia" w:ascii="Verdana" w:hAnsi="Verdana"/>
                <w:color w:val="000000"/>
              </w:rPr>
              <w:t>SOFT</w:t>
            </w:r>
            <w:r>
              <w:rPr>
                <w:rFonts w:ascii="Verdana" w:hAnsi="Verdana"/>
                <w:color w:val="000000"/>
              </w:rPr>
              <w:t>-</w:t>
            </w:r>
            <w:r>
              <w:rPr>
                <w:rFonts w:hint="eastAsia" w:ascii="Verdana" w:hAnsi="Verdana"/>
                <w:color w:val="000000"/>
              </w:rPr>
              <w:t>SYSTEM</w:t>
            </w:r>
            <w:r>
              <w:rPr>
                <w:rFonts w:ascii="Verdana" w:hAnsi="Verdana"/>
                <w:color w:val="000000"/>
              </w:rPr>
              <w:t>-Guide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2684" w:type="dxa"/>
            <w:vMerge w:val="continue"/>
            <w:shd w:val="clear" w:color="auto" w:fill="auto"/>
            <w:vAlign w:val="top"/>
          </w:tcPr>
          <w:p>
            <w:pPr>
              <w:ind w:firstLine="480" w:firstLineChars="200"/>
              <w:rPr>
                <w:rFonts w:ascii="Verdana" w:hAnsi="Verdana"/>
                <w:color w:val="000000"/>
              </w:rPr>
            </w:pPr>
          </w:p>
        </w:tc>
        <w:tc>
          <w:tcPr>
            <w:tcW w:w="1344" w:type="dxa"/>
            <w:shd w:val="clear" w:color="auto" w:fill="D9D9D9"/>
            <w:vAlign w:val="top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/>
                <w:color w:val="000000"/>
              </w:rPr>
              <w:t>当前版本：</w:t>
            </w:r>
          </w:p>
        </w:tc>
        <w:tc>
          <w:tcPr>
            <w:tcW w:w="4692" w:type="dxa"/>
            <w:vAlign w:val="top"/>
          </w:tcPr>
          <w:p>
            <w:pPr>
              <w:rPr>
                <w:rFonts w:hint="eastAsia" w:ascii="Verdana" w:hAnsi="Verdana"/>
              </w:rPr>
            </w:pPr>
            <w:r>
              <w:rPr>
                <w:rFonts w:hint="eastAsia" w:ascii="Verdana" w:hAnsi="Verdana"/>
              </w:rPr>
              <w:t>V</w:t>
            </w:r>
            <w:r>
              <w:rPr>
                <w:rFonts w:hint="eastAsia" w:ascii="Verdana" w:hAnsi="Verdana"/>
                <w:lang w:val="en-US" w:eastAsia="zh-CN"/>
              </w:rPr>
              <w:t>1</w:t>
            </w:r>
            <w:r>
              <w:rPr>
                <w:rFonts w:hint="eastAsia" w:ascii="Verdana" w:hAnsi="Verdana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84" w:type="dxa"/>
            <w:vMerge w:val="continue"/>
            <w:shd w:val="clear" w:color="auto" w:fill="auto"/>
            <w:vAlign w:val="top"/>
          </w:tcPr>
          <w:p>
            <w:pPr>
              <w:ind w:firstLine="480" w:firstLineChars="200"/>
              <w:rPr>
                <w:rFonts w:ascii="Verdana" w:hAnsi="Verdana"/>
                <w:color w:val="000000"/>
              </w:rPr>
            </w:pPr>
          </w:p>
        </w:tc>
        <w:tc>
          <w:tcPr>
            <w:tcW w:w="1344" w:type="dxa"/>
            <w:shd w:val="clear" w:color="auto" w:fill="D9D9D9"/>
            <w:vAlign w:val="top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/>
                <w:color w:val="000000"/>
              </w:rPr>
              <w:t>作</w:t>
            </w:r>
            <w:r>
              <w:rPr>
                <w:rFonts w:ascii="Verdana" w:hAnsi="Verdana"/>
                <w:color w:val="000000"/>
              </w:rPr>
              <w:t xml:space="preserve">    </w:t>
            </w:r>
            <w:r>
              <w:rPr>
                <w:rFonts w:ascii="Verdana"/>
                <w:color w:val="000000"/>
              </w:rPr>
              <w:t>者：</w:t>
            </w:r>
          </w:p>
        </w:tc>
        <w:tc>
          <w:tcPr>
            <w:tcW w:w="4692" w:type="dxa"/>
            <w:vAlign w:val="top"/>
          </w:tcPr>
          <w:p>
            <w:pPr>
              <w:rPr>
                <w:rFonts w:hint="eastAsia" w:ascii="Verdana" w:hAnsi="Verdana" w:eastAsiaTheme="minorEastAsia"/>
                <w:color w:val="000000"/>
                <w:lang w:eastAsia="zh-CN"/>
              </w:rPr>
            </w:pPr>
            <w:r>
              <w:rPr>
                <w:rFonts w:hint="eastAsia" w:ascii="Verdana" w:hAnsi="Verdana"/>
                <w:color w:val="000000"/>
                <w:lang w:eastAsia="zh-CN"/>
              </w:rPr>
              <w:t>赵鸣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84" w:type="dxa"/>
            <w:vMerge w:val="continue"/>
            <w:shd w:val="clear" w:color="auto" w:fill="auto"/>
            <w:vAlign w:val="top"/>
          </w:tcPr>
          <w:p>
            <w:pPr>
              <w:ind w:firstLine="480" w:firstLineChars="200"/>
              <w:rPr>
                <w:rFonts w:ascii="Verdana" w:hAnsi="Verdana"/>
                <w:color w:val="000000"/>
              </w:rPr>
            </w:pPr>
          </w:p>
        </w:tc>
        <w:tc>
          <w:tcPr>
            <w:tcW w:w="1344" w:type="dxa"/>
            <w:shd w:val="clear" w:color="auto" w:fill="D9D9D9"/>
            <w:vAlign w:val="top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/>
                <w:color w:val="000000"/>
              </w:rPr>
              <w:t>完成日期：</w:t>
            </w:r>
          </w:p>
        </w:tc>
        <w:tc>
          <w:tcPr>
            <w:tcW w:w="4692" w:type="dxa"/>
            <w:vAlign w:val="top"/>
          </w:tcPr>
          <w:p>
            <w:pPr>
              <w:rPr>
                <w:rFonts w:hint="eastAsia" w:ascii="Verdana" w:hAnsi="Verdana" w:eastAsiaTheme="minorEastAsia"/>
                <w:lang w:val="en-US" w:eastAsia="zh-CN"/>
              </w:rPr>
            </w:pPr>
            <w:r>
              <w:rPr>
                <w:rFonts w:hint="eastAsia" w:ascii="Verdana" w:hAnsi="Verdana"/>
                <w:lang w:val="en-US" w:eastAsia="zh-CN"/>
              </w:rPr>
              <w:t>2016.10.19</w:t>
            </w:r>
          </w:p>
        </w:tc>
      </w:tr>
    </w:tbl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</w:p>
    <w:p>
      <w:pPr>
        <w:spacing w:line="480" w:lineRule="auto"/>
        <w:jc w:val="center"/>
        <w:rPr>
          <w:rFonts w:hint="eastAsia" w:ascii="Calibri" w:hAnsi="Calibri" w:eastAsia="黑体"/>
          <w:b/>
          <w:sz w:val="28"/>
          <w:szCs w:val="28"/>
        </w:rPr>
      </w:pPr>
      <w:r>
        <w:rPr>
          <w:rFonts w:hint="eastAsia" w:ascii="Calibri" w:hAnsi="Calibri" w:eastAsia="黑体"/>
          <w:b/>
          <w:sz w:val="28"/>
          <w:szCs w:val="28"/>
        </w:rPr>
        <w:t>上海商鼎软件科技有限公司</w:t>
      </w:r>
    </w:p>
    <w:p>
      <w:pPr>
        <w:autoSpaceDE w:val="0"/>
        <w:autoSpaceDN w:val="0"/>
        <w:adjustRightInd w:val="0"/>
        <w:spacing w:line="362" w:lineRule="exact"/>
        <w:jc w:val="left"/>
        <w:rPr>
          <w:rStyle w:val="12"/>
          <w:rFonts w:hint="eastAsia"/>
          <w:spacing w:val="5"/>
          <w:kern w:val="21"/>
          <w:szCs w:val="21"/>
        </w:rPr>
      </w:pPr>
    </w:p>
    <w:p>
      <w:pPr>
        <w:autoSpaceDE w:val="0"/>
        <w:autoSpaceDN w:val="0"/>
        <w:adjustRightInd w:val="0"/>
        <w:spacing w:line="362" w:lineRule="exact"/>
        <w:jc w:val="left"/>
        <w:rPr>
          <w:rStyle w:val="12"/>
          <w:rFonts w:hint="eastAsia"/>
          <w:spacing w:val="5"/>
          <w:kern w:val="21"/>
          <w:szCs w:val="21"/>
        </w:rPr>
      </w:pPr>
    </w:p>
    <w:p>
      <w:pPr>
        <w:autoSpaceDE w:val="0"/>
        <w:autoSpaceDN w:val="0"/>
        <w:adjustRightInd w:val="0"/>
        <w:spacing w:line="362" w:lineRule="exact"/>
        <w:jc w:val="left"/>
        <w:rPr>
          <w:rStyle w:val="12"/>
          <w:rFonts w:hint="eastAsia"/>
          <w:spacing w:val="5"/>
          <w:kern w:val="21"/>
          <w:szCs w:val="21"/>
        </w:rPr>
      </w:pPr>
    </w:p>
    <w:p>
      <w:r>
        <w:br w:type="page"/>
      </w:r>
    </w:p>
    <w:p>
      <w:pPr>
        <w:pStyle w:val="8"/>
        <w:tabs>
          <w:tab w:val="right" w:leader="dot" w:pos="8306"/>
        </w:tabs>
        <w:jc w:val="center"/>
        <w:rPr>
          <w:rFonts w:hint="eastAsia" w:eastAsiaTheme="minorEastAsia"/>
          <w:sz w:val="44"/>
          <w:szCs w:val="44"/>
          <w:lang w:eastAsia="zh-CN"/>
        </w:rPr>
      </w:pPr>
      <w:bookmarkStart w:id="0" w:name="_Toc342317157"/>
      <w:bookmarkStart w:id="1" w:name="_Toc197073984"/>
      <w:bookmarkStart w:id="2" w:name="_Toc389646003"/>
      <w:bookmarkStart w:id="3" w:name="_Toc206823124"/>
      <w:bookmarkStart w:id="4" w:name="_Toc197167085"/>
      <w:bookmarkStart w:id="5" w:name="_Toc196244431"/>
      <w:r>
        <w:rPr>
          <w:rFonts w:hint="eastAsia"/>
          <w:sz w:val="44"/>
          <w:szCs w:val="44"/>
          <w:lang w:eastAsia="zh-CN"/>
        </w:rPr>
        <w:t>目录</w:t>
      </w:r>
    </w:p>
    <w:p>
      <w:pPr>
        <w:pStyle w:val="8"/>
        <w:tabs>
          <w:tab w:val="right" w:leader="dot" w:pos="8306"/>
        </w:tabs>
        <w:rPr>
          <w:rFonts w:hint="eastAsia"/>
        </w:rPr>
      </w:pPr>
    </w:p>
    <w:p>
      <w:pPr>
        <w:pStyle w:val="8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TOC \o "1-3" \h \u 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_Toc30948 </w:instrText>
      </w:r>
      <w:r>
        <w:rPr>
          <w:rFonts w:hint="eastAsia"/>
        </w:rPr>
        <w:fldChar w:fldCharType="separate"/>
      </w:r>
      <w:r>
        <w:rPr>
          <w:rFonts w:hint="eastAsia"/>
        </w:rPr>
        <w:t>1文档介绍</w:t>
      </w:r>
      <w:r>
        <w:tab/>
      </w:r>
      <w:r>
        <w:fldChar w:fldCharType="begin"/>
      </w:r>
      <w:r>
        <w:instrText xml:space="preserve"> PAGEREF _Toc30948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_Toc28874 </w:instrText>
      </w:r>
      <w:r>
        <w:rPr>
          <w:rFonts w:hint="eastAsia"/>
        </w:rPr>
        <w:fldChar w:fldCharType="separate"/>
      </w:r>
      <w:r>
        <w:rPr>
          <w:rFonts w:hint="eastAsia"/>
        </w:rPr>
        <w:t>1.1文档目的</w:t>
      </w:r>
      <w:r>
        <w:tab/>
      </w:r>
      <w:r>
        <w:fldChar w:fldCharType="begin"/>
      </w:r>
      <w:r>
        <w:instrText xml:space="preserve"> PAGEREF _Toc28874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_Toc27320 </w:instrText>
      </w:r>
      <w:r>
        <w:rPr>
          <w:rFonts w:hint="eastAsia"/>
        </w:rPr>
        <w:fldChar w:fldCharType="separate"/>
      </w:r>
      <w:r>
        <w:rPr>
          <w:rFonts w:hint="eastAsia"/>
        </w:rPr>
        <w:t>1.2文档范围</w:t>
      </w:r>
      <w:r>
        <w:tab/>
      </w:r>
      <w:r>
        <w:fldChar w:fldCharType="begin"/>
      </w:r>
      <w:r>
        <w:instrText xml:space="preserve"> PAGEREF _Toc27320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_Toc16512 </w:instrText>
      </w:r>
      <w:r>
        <w:rPr>
          <w:rFonts w:hint="eastAsia"/>
        </w:rPr>
        <w:fldChar w:fldCharType="separate"/>
      </w:r>
      <w:r>
        <w:rPr>
          <w:rFonts w:hint="eastAsia"/>
        </w:rPr>
        <w:t>1.3读者对象</w:t>
      </w:r>
      <w:r>
        <w:tab/>
      </w:r>
      <w:r>
        <w:fldChar w:fldCharType="begin"/>
      </w:r>
      <w:r>
        <w:instrText xml:space="preserve"> PAGEREF _Toc16512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_Toc31522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2. 使用说明</w:t>
      </w:r>
      <w:r>
        <w:tab/>
      </w:r>
      <w:r>
        <w:fldChar w:fldCharType="begin"/>
      </w:r>
      <w:r>
        <w:instrText xml:space="preserve"> PAGEREF _Toc31522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_Toc17212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2.1菜单入口</w:t>
      </w:r>
      <w:r>
        <w:tab/>
      </w:r>
      <w:r>
        <w:fldChar w:fldCharType="begin"/>
      </w:r>
      <w:r>
        <w:instrText xml:space="preserve"> PAGEREF _Toc17212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_Toc16155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2.2基本操作</w:t>
      </w:r>
      <w:r>
        <w:tab/>
      </w:r>
      <w:r>
        <w:fldChar w:fldCharType="begin"/>
      </w:r>
      <w:r>
        <w:instrText xml:space="preserve"> PAGEREF _Toc16155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_Toc23144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2.2.1状态数据库查看</w:t>
      </w:r>
      <w:r>
        <w:tab/>
      </w:r>
      <w:r>
        <w:fldChar w:fldCharType="begin"/>
      </w:r>
      <w:r>
        <w:instrText xml:space="preserve"> PAGEREF _Toc23144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_Toc31086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2.2.2选择审核任务</w:t>
      </w:r>
      <w:r>
        <w:tab/>
      </w:r>
      <w:r>
        <w:fldChar w:fldCharType="begin"/>
      </w:r>
      <w:r>
        <w:instrText xml:space="preserve"> PAGEREF _Toc31086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_Toc12421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2.2.3查看审核数据</w:t>
      </w:r>
      <w:r>
        <w:tab/>
      </w:r>
      <w:r>
        <w:fldChar w:fldCharType="begin"/>
      </w:r>
      <w:r>
        <w:instrText xml:space="preserve"> PAGEREF _Toc12421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_Toc23029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2.2.4审核通过</w:t>
      </w:r>
      <w:r>
        <w:tab/>
      </w:r>
      <w:r>
        <w:fldChar w:fldCharType="begin"/>
      </w:r>
      <w:r>
        <w:instrText xml:space="preserve"> PAGEREF _Toc23029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_Toc4088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2.2.5审核不通过</w:t>
      </w:r>
      <w:r>
        <w:tab/>
      </w:r>
      <w:r>
        <w:fldChar w:fldCharType="begin"/>
      </w:r>
      <w:r>
        <w:instrText xml:space="preserve"> PAGEREF _Toc4088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fldChar w:fldCharType="end"/>
      </w:r>
    </w:p>
    <w:p>
      <w:pPr>
        <w:pStyle w:val="2"/>
        <w:rPr>
          <w:rFonts w:hint="eastAsia"/>
        </w:rPr>
      </w:pPr>
      <w:bookmarkStart w:id="6" w:name="_Toc30948"/>
      <w:r>
        <w:rPr>
          <w:rFonts w:hint="eastAsia"/>
        </w:rPr>
        <w:t>1文档介绍</w:t>
      </w:r>
      <w:bookmarkEnd w:id="0"/>
      <w:bookmarkEnd w:id="1"/>
      <w:bookmarkEnd w:id="2"/>
      <w:bookmarkEnd w:id="3"/>
      <w:bookmarkEnd w:id="6"/>
    </w:p>
    <w:p>
      <w:pPr>
        <w:pStyle w:val="3"/>
        <w:rPr>
          <w:rFonts w:hint="eastAsia"/>
        </w:rPr>
      </w:pPr>
      <w:bookmarkStart w:id="7" w:name="_Toc196292848"/>
      <w:bookmarkStart w:id="8" w:name="_Toc206823125"/>
      <w:bookmarkStart w:id="9" w:name="_Toc389646004"/>
      <w:bookmarkStart w:id="10" w:name="_Toc342317158"/>
      <w:bookmarkStart w:id="11" w:name="_Toc28874"/>
      <w:bookmarkStart w:id="12" w:name="_Toc197073989"/>
      <w:r>
        <w:rPr>
          <w:rFonts w:hint="eastAsia"/>
        </w:rPr>
        <w:t>1.1文档目的</w:t>
      </w:r>
      <w:bookmarkEnd w:id="7"/>
      <w:bookmarkEnd w:id="8"/>
      <w:bookmarkEnd w:id="9"/>
      <w:bookmarkEnd w:id="10"/>
      <w:bookmarkEnd w:id="11"/>
    </w:p>
    <w:p>
      <w:pPr>
        <w:ind w:firstLine="480" w:firstLineChars="200"/>
      </w:pPr>
      <w:r>
        <w:rPr>
          <w:rFonts w:hint="eastAsia"/>
        </w:rPr>
        <w:t>本文主要针对</w:t>
      </w:r>
      <w:r>
        <w:rPr>
          <w:rFonts w:hint="eastAsia"/>
          <w:sz w:val="24"/>
          <w:szCs w:val="24"/>
        </w:rPr>
        <w:t>高校教学基本状态数据库及评估系统</w:t>
      </w:r>
      <w:r>
        <w:rPr>
          <w:rFonts w:hint="eastAsia"/>
        </w:rPr>
        <w:t>完成数据采集任务的数据审核人员的操作指南；</w:t>
      </w:r>
    </w:p>
    <w:p>
      <w:pPr>
        <w:pStyle w:val="3"/>
      </w:pPr>
      <w:bookmarkStart w:id="13" w:name="_Toc342317159"/>
      <w:bookmarkStart w:id="14" w:name="_Toc196292849"/>
      <w:bookmarkStart w:id="15" w:name="_Toc389646005"/>
      <w:bookmarkStart w:id="16" w:name="_Toc206823126"/>
      <w:bookmarkStart w:id="17" w:name="_Toc27320"/>
      <w:r>
        <w:rPr>
          <w:rFonts w:hint="eastAsia"/>
        </w:rPr>
        <w:t>1.2文档范围</w:t>
      </w:r>
      <w:bookmarkEnd w:id="13"/>
      <w:bookmarkEnd w:id="14"/>
      <w:bookmarkEnd w:id="15"/>
      <w:bookmarkEnd w:id="16"/>
      <w:bookmarkEnd w:id="17"/>
    </w:p>
    <w:p>
      <w:pPr>
        <w:ind w:firstLine="480" w:firstLineChars="200"/>
      </w:pPr>
      <w:r>
        <w:rPr>
          <w:rFonts w:hint="eastAsia"/>
        </w:rPr>
        <w:t>本文描述的操作仅适用</w:t>
      </w:r>
      <w:r>
        <w:rPr>
          <w:rFonts w:hint="eastAsia"/>
          <w:sz w:val="24"/>
          <w:szCs w:val="24"/>
        </w:rPr>
        <w:t>高校教学基本状态数据库及评估系统</w:t>
      </w:r>
      <w:r>
        <w:rPr>
          <w:rFonts w:hint="eastAsia"/>
        </w:rPr>
        <w:t>；</w:t>
      </w:r>
    </w:p>
    <w:p>
      <w:pPr>
        <w:pStyle w:val="3"/>
      </w:pPr>
      <w:bookmarkStart w:id="18" w:name="_Toc342317160"/>
      <w:bookmarkStart w:id="19" w:name="_Toc389646006"/>
      <w:bookmarkStart w:id="20" w:name="_Toc196292850"/>
      <w:bookmarkStart w:id="21" w:name="_Toc206823127"/>
      <w:bookmarkStart w:id="22" w:name="_Toc16512"/>
      <w:r>
        <w:rPr>
          <w:rFonts w:hint="eastAsia"/>
        </w:rPr>
        <w:t>1.3读者对象</w:t>
      </w:r>
      <w:bookmarkEnd w:id="18"/>
      <w:bookmarkEnd w:id="19"/>
      <w:bookmarkEnd w:id="20"/>
      <w:bookmarkEnd w:id="21"/>
      <w:bookmarkEnd w:id="22"/>
    </w:p>
    <w:p>
      <w:pPr>
        <w:ind w:firstLine="480" w:firstLineChars="200"/>
      </w:pPr>
      <w:r>
        <w:rPr>
          <w:rFonts w:hint="eastAsia"/>
        </w:rPr>
        <w:t>应当阅读本文的读者包括：客户（数据审核员）</w:t>
      </w:r>
      <w:bookmarkStart w:id="34" w:name="_GoBack"/>
      <w:bookmarkEnd w:id="34"/>
      <w:r>
        <w:rPr>
          <w:rFonts w:hint="eastAsia"/>
        </w:rPr>
        <w:t>。</w:t>
      </w:r>
    </w:p>
    <w:bookmarkEnd w:id="4"/>
    <w:bookmarkEnd w:id="5"/>
    <w:bookmarkEnd w:id="12"/>
    <w:p>
      <w:r>
        <w:br w:type="page"/>
      </w:r>
    </w:p>
    <w:p>
      <w:pPr>
        <w:pStyle w:val="2"/>
        <w:numPr>
          <w:ilvl w:val="0"/>
          <w:numId w:val="2"/>
        </w:numPr>
        <w:rPr>
          <w:rFonts w:hint="eastAsia"/>
          <w:lang w:val="en-US" w:eastAsia="zh-CN"/>
        </w:rPr>
      </w:pPr>
      <w:bookmarkStart w:id="23" w:name="_Toc4688"/>
      <w:bookmarkStart w:id="24" w:name="_Toc31522"/>
      <w:r>
        <w:rPr>
          <w:rFonts w:hint="eastAsia"/>
          <w:lang w:val="en-US" w:eastAsia="zh-CN"/>
        </w:rPr>
        <w:t>使用说明</w:t>
      </w:r>
      <w:bookmarkEnd w:id="23"/>
      <w:bookmarkEnd w:id="24"/>
    </w:p>
    <w:p>
      <w:pPr>
        <w:pStyle w:val="3"/>
        <w:rPr>
          <w:rFonts w:hint="eastAsia"/>
          <w:lang w:val="en-US" w:eastAsia="zh-CN"/>
        </w:rPr>
      </w:pPr>
      <w:bookmarkStart w:id="25" w:name="_Toc28888"/>
      <w:bookmarkStart w:id="26" w:name="_Toc17212"/>
      <w:r>
        <w:rPr>
          <w:rFonts w:hint="eastAsia"/>
          <w:lang w:val="en-US" w:eastAsia="zh-CN"/>
        </w:rPr>
        <w:t>2.1菜单入口</w:t>
      </w:r>
      <w:bookmarkEnd w:id="25"/>
      <w:bookmarkEnd w:id="2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数据审核人员登录后，进入首页，如下图：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59715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该界面分为4个部分，分别是：最新动态、菜单导航、待办事宜、快速入口。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审核界面有三种方法，第一种是点击数据采集导航，直接进入审核页面。第二种方法是点击待办事宜中待处理的事件，跳转到审核页面，第三种是在快速入口内添加审核任务导航，点击审核任务，跳转审核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审核页面有两部分组成：待审核数据、审核入库数据。</w:t>
      </w:r>
    </w:p>
    <w:p>
      <w:pPr>
        <w:pStyle w:val="3"/>
        <w:rPr>
          <w:rFonts w:hint="eastAsia"/>
          <w:lang w:val="en-US" w:eastAsia="zh-CN"/>
        </w:rPr>
      </w:pPr>
      <w:bookmarkStart w:id="27" w:name="_Toc16155"/>
      <w:r>
        <w:rPr>
          <w:rFonts w:hint="eastAsia"/>
          <w:lang w:val="en-US" w:eastAsia="zh-CN"/>
        </w:rPr>
        <w:t>2.2基本操作</w:t>
      </w:r>
      <w:bookmarkEnd w:id="27"/>
    </w:p>
    <w:p>
      <w:pPr>
        <w:pStyle w:val="4"/>
        <w:rPr>
          <w:rFonts w:hint="eastAsia"/>
          <w:lang w:val="en-US" w:eastAsia="zh-CN"/>
        </w:rPr>
      </w:pPr>
      <w:bookmarkStart w:id="28" w:name="_Toc25219"/>
      <w:bookmarkStart w:id="29" w:name="_Toc23144"/>
      <w:r>
        <w:rPr>
          <w:rFonts w:hint="eastAsia"/>
          <w:lang w:val="en-US" w:eastAsia="zh-CN"/>
        </w:rPr>
        <w:t>2.2.1状态数据库查看</w:t>
      </w:r>
      <w:bookmarkEnd w:id="28"/>
      <w:bookmarkEnd w:id="2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点击数据仓库，可以查看数据仓库内该采集员有权限查看的数据，如下图：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57165" cy="2269490"/>
            <wp:effectExtent l="0" t="0" r="635" b="1651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状态数据库查看只能对有权限的表进行查看入库的数据，搜索和导出数据，如下图：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57800" cy="1275715"/>
            <wp:effectExtent l="0" t="0" r="0" b="63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bookmarkStart w:id="30" w:name="_Toc31086"/>
      <w:r>
        <w:rPr>
          <w:rFonts w:hint="eastAsia"/>
          <w:lang w:val="en-US" w:eastAsia="zh-CN"/>
        </w:rPr>
        <w:t>2.2.2选择审核任务</w:t>
      </w:r>
      <w:bookmarkEnd w:id="3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在采集任务后的下拉框中，点击需要审核的任务，则会显示该任务的所有需审核表，如下图：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64785" cy="1268095"/>
            <wp:effectExtent l="0" t="0" r="1206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bookmarkStart w:id="31" w:name="_Toc12421"/>
      <w:r>
        <w:rPr>
          <w:rFonts w:hint="eastAsia"/>
          <w:lang w:val="en-US" w:eastAsia="zh-CN"/>
        </w:rPr>
        <w:t>2.2.3查看审核数据</w:t>
      </w:r>
      <w:bookmarkEnd w:id="3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点击审核页面内，需要审核数据的表名链接，可以进入该表，查看需要审核的数据，如下图：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1320800"/>
            <wp:effectExtent l="0" t="0" r="317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在表内可以进行打回、审核通过、清空当前数据、导出Excel操作。点击右上角的返回按钮，则可以返回审核列表，如下图：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64150" cy="1311910"/>
            <wp:effectExtent l="0" t="0" r="1270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bookmarkStart w:id="32" w:name="_Toc23029"/>
      <w:r>
        <w:rPr>
          <w:rFonts w:hint="eastAsia"/>
          <w:lang w:val="en-US" w:eastAsia="zh-CN"/>
        </w:rPr>
        <w:t>2.2.4审核通过</w:t>
      </w:r>
      <w:bookmarkEnd w:id="3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审核员查看上报数据后，认为数据无误，即可进行审核通过操作，操作步骤如下：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在审核列表中进行审核通过操作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在待审核数据界面下，点击表后的审核通过按钮，数据录入员录入的数据正式入库，如下图：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1040765"/>
            <wp:effectExtent l="0" t="0" r="635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在审核表中数据页面进行审核通过操作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点击需要审核的表名链接，进入表内查看采集的数据，如果确认无误，点击右上角的审核通过按钮，如下图：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1349375"/>
            <wp:effectExtent l="0" t="0" r="1016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bookmarkStart w:id="33" w:name="_Toc4088"/>
      <w:r>
        <w:rPr>
          <w:rFonts w:hint="eastAsia"/>
          <w:lang w:val="en-US" w:eastAsia="zh-CN"/>
        </w:rPr>
        <w:t>2.2.5审核不通过</w:t>
      </w:r>
      <w:bookmarkEnd w:id="3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审核员查看上报数据后，认为数据存在问题，即可进行审核不通过操作，操作步骤如下：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在审核列表中进行审核通过操作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在待审核数据界面下，点击表后的打回按钮，显示填写审核意见输入框，填写意见后点击提交按钮（意见必须填写），如下图：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67960" cy="1289685"/>
            <wp:effectExtent l="0" t="0" r="889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65420" cy="2066290"/>
            <wp:effectExtent l="0" t="0" r="11430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在审核表中数据页面进行审核通过操作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点击需要审核的表名链接，进入表内查看采集的数据，点击右上角的打回按钮，显示填写审核意见输入框，填写意见后点击提交按钮（意见必须填写），如下图：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1137285"/>
            <wp:effectExtent l="0" t="0" r="635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1753235"/>
            <wp:effectExtent l="0" t="0" r="2540" b="1841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pStyle w:val="13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pStyle w:val="14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>
    <w:nsid w:val="58044452"/>
    <w:multiLevelType w:val="singleLevel"/>
    <w:tmpl w:val="58044452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8047309"/>
    <w:multiLevelType w:val="singleLevel"/>
    <w:tmpl w:val="58047309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">
    <w:nsid w:val="580475DF"/>
    <w:multiLevelType w:val="singleLevel"/>
    <w:tmpl w:val="580475DF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149B"/>
    <w:rsid w:val="06EE1C7F"/>
    <w:rsid w:val="07AE56E5"/>
    <w:rsid w:val="09B360C3"/>
    <w:rsid w:val="0BEC0D86"/>
    <w:rsid w:val="0EBD6DAD"/>
    <w:rsid w:val="1122652E"/>
    <w:rsid w:val="1B805126"/>
    <w:rsid w:val="1B9362F9"/>
    <w:rsid w:val="1D5754EA"/>
    <w:rsid w:val="21472951"/>
    <w:rsid w:val="314972E2"/>
    <w:rsid w:val="332B7E8A"/>
    <w:rsid w:val="39180C08"/>
    <w:rsid w:val="3FFD3E5B"/>
    <w:rsid w:val="40925E16"/>
    <w:rsid w:val="44DA7916"/>
    <w:rsid w:val="456A7A8E"/>
    <w:rsid w:val="4AC7734F"/>
    <w:rsid w:val="5029420F"/>
    <w:rsid w:val="574817FE"/>
    <w:rsid w:val="57481F8A"/>
    <w:rsid w:val="63E560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2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Cs/>
      <w:kern w:val="2"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customStyle="1" w:styleId="12">
    <w:name w:val="样式 Verdana 三号 黑色 阴影"/>
    <w:qFormat/>
    <w:uiPriority w:val="0"/>
    <w:rPr>
      <w:rFonts w:ascii="Verdana" w:hAnsi="Verdana" w:eastAsia="宋体"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3">
    <w:name w:val="章节标题1"/>
    <w:basedOn w:val="2"/>
    <w:next w:val="1"/>
    <w:qFormat/>
    <w:uiPriority w:val="0"/>
    <w:pPr>
      <w:keepLines/>
      <w:numPr>
        <w:ilvl w:val="0"/>
        <w:numId w:val="1"/>
      </w:numPr>
      <w:spacing w:before="0" w:beforeLines="0" w:after="10" w:afterLines="0" w:line="578" w:lineRule="auto"/>
    </w:pPr>
    <w:rPr>
      <w:rFonts w:ascii="Verdana" w:hAnsi="Verdana" w:cs="宋体"/>
      <w:bCs/>
      <w:spacing w:val="5"/>
      <w:kern w:val="44"/>
      <w:szCs w:val="32"/>
    </w:rPr>
  </w:style>
  <w:style w:type="paragraph" w:customStyle="1" w:styleId="14">
    <w:name w:val="章节标题2"/>
    <w:basedOn w:val="3"/>
    <w:qFormat/>
    <w:uiPriority w:val="0"/>
    <w:pPr>
      <w:keepNext/>
      <w:keepLines/>
      <w:numPr>
        <w:ilvl w:val="1"/>
        <w:numId w:val="1"/>
      </w:numPr>
      <w:spacing w:before="10" w:beforeLines="0" w:after="10" w:afterLines="0"/>
    </w:pPr>
    <w:rPr>
      <w:rFonts w:ascii="Verdana" w:hAnsi="Verdana" w:cs="宋体"/>
      <w:bCs w:val="0"/>
      <w:spacing w:val="5"/>
      <w:kern w:val="2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</dc:creator>
  <cp:lastModifiedBy>mz</cp:lastModifiedBy>
  <dcterms:modified xsi:type="dcterms:W3CDTF">2016-12-07T05:29:33Z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